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54</w:t>
      </w:r>
    </w:p>
    <w:p>
      <w:r>
        <w:t>Bundesgericht (BGE), 1987-12-11, DE</w:t>
      </w:r>
    </w:p>
    <w:p>
      <w:r>
        <w:rPr>
          <w:b/>
        </w:rPr>
        <w:t xml:space="preserve">Quelle: </w:t>
      </w:r>
      <w:r>
        <w:t>https://mcp.opencaselaw.ch/entscheid/bge_126 II 54</w:t>
      </w:r>
    </w:p>
    <w:p>
      <w:r>
        <w:t>FR: ATF 126 II 54</w:t>
      </w:r>
    </w:p>
    <w:p>
      <w:r>
        <w:t>IT: DTF 126 II 54</w:t>
      </w:r>
    </w:p>
    <w:p>
      <w:pPr>
        <w:pStyle w:val="Heading2"/>
      </w:pPr>
      <w:r>
        <w:t>Regeste</w:t>
      </w:r>
    </w:p>
    <w:p>
      <w:r>
        <w:t>Regeste Art. 19 und 21 Eisenbahngesetz; Pflicht zur Übernahme der Kosten für Sicherheits- und Sanierungsvorkehren. Liegt ein Gefährdungstatbestand sowohl im Sinne von Art. 19 EBG wie auch im Sinne von Art. 21 EBG vor, so sind beim Entscheid über die Übernahme der Sanierungskosten ebenfalls beide Vorschriften zu berücksichtigen (E. 3). Die Kostenpflicht bestimmt sich in erster Linie nach der Frage, ob die Bahnanlage oder die Anlage des Dritten zuerst vorhanden war (E. 4, 5). Die Verjährung von Schadenersatzforderungen für Sicherheitsvorkehren gemäss Art. 19 und 21 EBG bestimmt sich nicht nach Art. 60 OR (E. 7). Den SBB als Organisation mit öffentlichrechtlichen Aufgaben ist in der Regel keine Parteientschädigung zuzusprechen (E. 8).</w:t>
      </w:r>
    </w:p>
    <w:p>
      <w:pPr>
        <w:pStyle w:val="Heading2"/>
      </w:pPr>
      <w:r>
        <w:t>Erwägungen</w:t>
      </w:r>
    </w:p>
    <w:p>
      <w:r>
        <w:rPr>
          <w:b/>
        </w:rPr>
        <w:t>E. 2</w:t>
      </w:r>
    </w:p>
    <w:p>
      <w:r>
        <w:t>Der Beschwerdeführer beanstandet, dass das UVEK seinen Entscheid auf Art. 19 EBG stütze, während das BAV von der Anwendbarkeit von Art. 21 EBG ausgegangen sei. Werde eine neue Norm beigezogen, so falle die Grundlage für die von den SBB gestellte Forderung dahin. Art. 19 EBG sehe ganz andere Voraussetzungen als Art. 21 EBG für die Kostentragungspflicht Dritter vor. Diese Voraussetzungen seien für den Beschwerdeführer nicht erfüllt, da er höchstens Zustandsstörer sei, während der Kanton Schwyz für den Vermessungsfehler einzustehen habe und als Verhaltensstörer BGE 126 II 54 S. 57 in erster Linie hafte. Der Beschwerdeführer habe sich im Übrigen zu einer Kostentragung auf Grund von Art. 19 EBG nie äussern können. Eine Kostentragungspflicht könne für den Beschwerdeführer auch nicht aus Art. 21 EBG hergeleitet werden, weil ihn kein Verschulden treffe; die Ursache der fraglichen Störung liege allein im fehlerhaften Vermessungswerk des amtlichen Geometers. Zumindest aber bestehe Haftungskonkurrenz und hätten daher die für den Vermessungsfehler Verantwortlichen ebenfalls zur Rechenschaft gezogen werden müssen. Schliesslich sei die gegenüber dem Beschwerdeführer geltend gemachte Forderung verjährt; mangels einer entsprechenden Vorschrift im Eisenbahnrecht sei in Analogie zu Art. 60 OR von einer einjährigen Verjährungsfrist auszugehen. Da die Rechtshängigkeit einer Klage oder eines Forderungsbegehrens den Verjährungslauf nicht hemme, sei die Verjährung bereits im Verfahren vor dem BAV, jedenfalls aber im Verfahren vor dem UVEK eingetreten.</w:t>
      </w:r>
    </w:p>
    <w:p>
      <w:r>
        <w:rPr>
          <w:b/>
        </w:rPr>
        <w:t>E. 3</w:t>
      </w:r>
    </w:p>
    <w:p>
      <w:r>
        <w:t>Es ist unbestritten, dass die SBB-Übertragungsleitung den Vorschriften von Art. 19 bis 21 des Eisenbahngesetzes über die Sicherheitsmassnahmen und die Kostentragungspflicht untersteht. Umstritten ist dagegen, welche Bestimmung die Rechtsgrundlage für die Forderung der SBB auf Rückerstattung ihrer Sanierungskosten bilde. Das UVEK hat diese ausschliesslich in Art. 19 EBG gesehen, während sich das BAV nur auf Art. 21 EBG stützte. Aufgrund des geschilderten Sachverhaltes fällt die Streitsache jedoch in den Regelungsbereich beider Vorschriften: Die Bestimmung von Art. 19 EBG trägt dem Gefährdungspotential von Bahnanlagen Rechnung und hält die Bahnunternehmung dazu an, jene Vorkehren zu treffen, die für die Sicherheit der Bahn selbst sowie auch zur Vermeidung von Gefahren für Personen und Sachen erforderlich sind. Art. 21 EBG bezieht sich demgegenüber auf die Gefahren, die von Arbeiten, Anlagen, Bäumen oder Unternehmungen Dritter ausgehen und die Sicherheit der Bahnanlagen beeinträchtigen können. Er verpflichtet daher diese Dritten, auf Begehren der Bahn - im Streitfall auf Verfügung der Aufsichtsbehörde - durch geeignete Massnahmen Abhilfe zu schaffen. Im vorliegenden Fall wurde durch den Bau des Gewerbehauses "Äschi" - der Anlage eines "Dritten" - der aus Sicherheitsgründen vorgeschriebene Mindestabstand zwischen Hochspannungsfreileitung und Gebäude unterschritten. Dadurch ist einerseits die Sicherheit des Bahnstromversorgungsnetzes beeinträchtigt und mithin ein Gefährdungstatbestand gemäss Art. 21 Abs. 1 EBG geschaffen worden. BGE 126 II 54 S. 58 Andererseits ist aber durch die Nichteinhaltung der vom BAV festgelegten Minimaldistanz auch im Sinne von Art. 19 Abs. 1 EBG eine Gefahr für das Gebäude und die sich in diesem aufhaltenden Menschen entstanden. Gemäss den beiden Vorschriften erwuchs den SBB als Inhaberinnen der Starkstromleitung und dem Beschwerdeführer als Gebäudeeigentümer gleicherweise die Pflicht, die zur Behebung der gefährlichen Situation erforderlichen Massnahmen zu ergreifen. Bestimmt sich demnach die Pflicht zur Beseitigung der gefahrenträchtigen Situation sowohl nach Art. 21 wie auch nach Art. 19 EBG , so sind bei der Regelung der Kostenfolgen dem Grundsatze nach ebenfalls beide Vorschriften zu berücksichtigen.</w:t>
      </w:r>
    </w:p>
    <w:p>
      <w:r>
        <w:rPr>
          <w:b/>
        </w:rPr>
        <w:t>E. 4</w:t>
      </w:r>
    </w:p>
    <w:p>
      <w:r>
        <w:t>Nach Art. 19 Abs. 2 Satz 1 EBG hat die Bahnunternehmung die Kosten der durch die Bahnanlage bedingten Sicherheitsmassnahmen zu übernehmen. Kosten für Vorkehren, welche wegen Bauvorhaben oder anderer Bedürfnisse Dritter nötig werden, gehen zu deren Lasten ( Art. 19 Abs. 2 Satz 2 EBG ). Wird die Sicherheit der Bahn durch Anlagen oder Unternehmungen Dritter beeinträchtigt, so wird die Bahn dann kostenpflichtig, wenn die Anlagen oder Unternehmungen schon vor Inkrafttreten des Eisenbahngesetzes oder vor Erstellung der Bahnanlagen bestanden ( Art. 21 Abs. 2 Satz 1 EBG ). Für die nach diesem Zeitpunkt erstellten Anlagen oder eröffneten Unternehmungen tragen deren Inhaber die Kosten der Sanierung ( Art. 21 Abs. 2 Satz 2 EBG ). Die Kostenfolgen der Beseitigung eines gefährlichen bzw. polizeiwidrigen Zustandes, der durch das Aufeinandertreffen von Bahnanlagen und Anlagen Dritter verursacht wird, bestimmt sich somit nach der zeitlichen Priorität, das heisst nach der Frage, welche Anlage - jene der Bahn oder jene des Dritten - zuerst vorhanden war. Die Massgeblichkeit des Vorbestehens der einen oder anderen Anlage, die jedenfalls seit dem Inkrafttreten des Eisenbahngesetzes im Jahre 1958 gilt (vgl. Urteil des Bundesgerichts vom 19. Mai 1998 i.S. Ferrovie Federali Svizzere, publ. in RDAT 1998 II S. 196), ist wie dargelegt in Art. 21 Abs. 2 EBG klar festgehalten. Sie ergibt sich aber auch aus dem Wortlaut von Art. 19 Abs. 2 EBG , wo von Bau-"Vorhaben" Dritter gesprochen wird sowie von anderen Bedürfnissen Dritter, für welche Vorkehren "nötig werden". Damit wird ebenfalls zum Ausdruck gebracht, dass die Kosten für Massnahmen, die erst hinterher im Interesse Dritter getroffen werden müssen, zu deren Lasten gehen sollen. Übrigens ist das einfache Kriterium, dass zu bezahlen hat, wer später kommt und den bisherigen BGE 126 II 54 S. 59 Zustand ändert, in weiteren Vorschriften des Eisenbahngesetzes übernommen worden, so insbesondere in den Bestimmungen von Art. 25 Abs. 1 und Art. 31 Abs. 2 EBG über die Tragung der Kosten für neue Kreuzungen zwischen Bahnen und Strassen oder anderen Anlagen (vgl. dazu die ausführlichen Erwägungen in der bundesrätlichen Botschaft zum Entwurf eines Eisenbahngesetzes vom 3. Februar 1956, BBl 1956 I 246 ff. zu den damaligen Artikeln 23 bis 30 EBG). Für die Auferlegung der Kosten ist somit auch im vorliegenden Fall ausschlaggebend, welche der beiden sich gegenseitig gefährdenden Anlagen zuerst am Platze war und welche durch ihr späteres Hinzukommen den bisherigen Zustand änderte. Nur wenn sich diese Frage der Priorität nicht lösen lässt, ist auf weitere, sich aus der Lehre und Rechtsprechung ergebende Kriterien abzustellen, so etwa darauf, wer als "Störer" im polizeirechtlichen Sinne gelte und aus diesem Grunde zur Kostentragung beizuziehen sei.</w:t>
      </w:r>
    </w:p>
    <w:p>
      <w:r>
        <w:rPr>
          <w:b/>
        </w:rPr>
        <w:t>E. 5</w:t>
      </w:r>
    </w:p>
    <w:p>
      <w:r>
        <w:t>Wie sich aus den Akten ergibt, bestand die Übertragungsleitung der SBB schon seit längerer Zeit, als der Beschwerdeführer die Überbauung seines Grundstücks unternahm. Gemäss Grundbuchblatt wurde die Parzelle Nr. 621 im Jahre 1971 mit einem Überleitungsrecht für eine Hochspannungsleitung zu Gunsten der SBB belastet. Die Leitung wurde offenbar im damaligen Zeitpunkt erstellt. Ist demnach vom Vorbestehen der SBB-Leitung auszugehen, so sind nach dem Gesagten die Kosten für die Behebung der Gefährdungssituation dem Beschwerdeführer, der seine Baute erst im Nachhinein erstellt hat, zu Recht auferlegt worden. Allerdings könnte hiergegen eingewendet werden, den SBB hätten ursprünglich blosse Durchleitungsrechte für die Überspannung der Parzelle Nr. 621 zugestanden. Diese Dienstbarkeiten hätten die Baufreiheit des Grundeigentümers in keiner Weise eingeschränkt; vielmehr seien die SBB, als der Beschwerdeführer sein Grundstück überbauen wollte, zur Verlegung der Leitung oder zum Erwerb von Bauverbots-Servituten verpflichtet gewesen (vgl. BGE 115 Ib 13 E. 2 S. 17 mit Hinweisen auf weitere Urteile). Rechtlich gesehen sei daher der Bestand der Leitung am gegebenen Ort erst durch den Dienstbarkeitsvertrag vom 15. Juli 1988 und die darin vereinbarte Baubeschränkung gesichert worden. In diesem Sinne komme der Leitung keine Priorität zu. Einer solchen Betrachtungsweise - die übrigens vom Beschwerdeführer nicht vertreten wird - wäre jedoch schon deshalb nicht zu folgen, weil bei der Gefahrenabwehr und der Beseitigung polizeiwidriger BGE 126 II 54 S. 60 Zustände auf die offenkundigen Verhältnisse abzustellen ist. Ähnlich wie beim Besitzesschutz muss ohne vorgängige rechtliche Abklärungen rasch gehandelt werden können. Zwar steht bei der Regelung der Kostentragung die zeitliche Dringlichkeit nicht mehr in gleicher Weise im Vordergrund. Stellt der Bundesgesetzgeber aber - wie hier im Eisenbahnwesen - nicht nur für die Pflicht zur Ergreifung von Sicherheitsmassnahmen, sondern auch für die Kostentragungspflicht Regeln auf, die auf die Offenkundigkeit abstellen, so kann es in Fällen wie dem vorliegenden keine Rolle spielen, welche Servituten die Existenz und damit auch das Vorbestehen einer Bahnzwecken dienenden Leitung ermöglicht haben. Im Weiteren haben die Parteien in ihrem Dienstbarkeitsvertrag vom 15. Juli 1988 selbst erklärt, dass die neu umschriebenen Dienstbarkeitsrechte dem "Fortbestand" der Leitung dienen und für die Situierung dieser Rechte der effektive Leitungsverlauf massgebend sei. Damit sind sie ihrerseits davon ausgegangen, dass der bisherige tatsächliche Zustand auch die rechtliche Situation bestimme. Es besteht daher kein Grund, hier in Anwendung von Art. 21 Abs. 2 und Art. 19 Abs. 2 EBG nicht auf den Zeitpunkt der tatsächlichen Errichtung der Leitungs-Anlage abzustellen.</w:t>
      </w:r>
    </w:p>
    <w:p>
      <w:r>
        <w:rPr>
          <w:b/>
        </w:rPr>
        <w:t>E. 6</w:t>
      </w:r>
    </w:p>
    <w:p>
      <w:r>
        <w:t>Nach dem Gesagten erweist sich der Einwand des Beschwerdeführers, er habe sich nie zur Anwendung von Art. 19 Abs. 2 EBG äussern können, als nicht stichhaltig. Wie dargelegt stellen Art. 21 Abs. 2 und Art. 19 Abs. 2 EBG für Fälle wie den vorliegenden die gleichen Voraussetzungen für die Kostenpflicht Dritter auf. Ausserdem war bereits im Verfahren vor dem BAV zur Festlegung der geeigneten Sanierungsvorkehren mehrmals davon die Rede, dass dringend auch Massnahmen zum Schutze der Bauarbeiter und der sich im Gewerbehaus "Äschi" aufhaltenden Personen zu treffen seien. Der durch einen Rechtsanwalt vertretene Beschwerdeführer hat deshalb damit rechnen müssen, dass bei der Regelung der Kostentragung (auch) auf Art. 19 EBG abgestellt werden könnte ( BGE 124 I 49 E. 3c, S. 52; BGE 123 I 63 E. 2d S. 69 je mit Hinweisen). Ebenso wenig vermag der Hinweis darauf, dass mehrere "Störer" vorhanden seien und Haftungskonkurrenz bestehe, dem Beschwerdeführer zu helfen. Die Bestimmungen von Art. 19 und 21 EBG regeln die Kostenverteilung zwischen der Bahnunternemung und dem "Dritten", welcher Eigentümer der Anlage oder Verantwortlicher für die Unternehmung ist, die im Zusammentreffen mit der Bahn Gefahren schafft. Haben auf der Seite des "Dritten" weitere BGE 126 II 54 S. 61 Personen die Gefahrenlage mitbewirkt, so ist es dessen Sache, diese weiteren Beteiligten im hierfür einschlägigen Verfahren zur Rechenschaft zu ziehen. Der Beschwerdeführer hat daher mit gutem Grund in seiner Verwaltungsbeschwerde vom 16. September 1996 auf seinen früher gestellten Antrag um Beiladung des Kantons Schwyz ausdrücklich verzichtet.</w:t>
      </w:r>
    </w:p>
    <w:p>
      <w:r>
        <w:rPr>
          <w:b/>
        </w:rPr>
        <w:t>E. 7</w:t>
      </w:r>
    </w:p>
    <w:p>
      <w:r>
        <w:t>Soweit sich der Beschwerdeführer schliesslich darauf beruft, dass die Forderung der SBB nach der sinngemäss anwendbaren Bestimmung von Art. 60 OR bereits verjährt sei, ist ihm ebenfalls nicht zu folgen. Das Eisenbahnrecht enthält keine Bestimmung über die Verjährung von Schadenersatzforderungen für Sicherheitsvorkehren im Sinne von Art. 19 und 21 EBG . Beginn und Dauer der Verjährungsfrist sind deshalb anhand vergleichbarer Regelungen oder - wenn auch solche fehlen - nach allgemeinen Rechtsprinzipien festzulegen (vgl. BGE 108 Ib 150 E. 4a, mit Hinweisen). Nun hat das Bundesgericht schon mehrfach festgestellt, dass die in Art. 60 OR vorgesehene einjährige Verjährungsfrist nicht auf öffentlichrechtliche Schadenersatzansprüche übertragen werden könne. Fehle eine ausdrückliche Bestimmung, die die Verjährungsfrist auf nur ein Jahr festsetze, so müsse der Forderungsberechtigte nicht mit einer derart kurzen Frist rechnen. Mit Rücksicht auf das Gebot der Rechtssicherheit und des Vertrauensschutzes sei bei der Lückenfüllung eine längere Frist zu wählen und in der Regel von einer - einzigen - Verjährungsfrist von fünf Jahren auszugehen (vgl. BGE 105 Ib 6 E. 3c S. 13 f.; BGE 108 Ib 485 ; BGE 113 Ia 461 E. 2 S. 464 f.; BGE 122 II 26 E. 5 S. 32 f; BGE 124 II 543 E. 4a S. 550). Diese fünfjährige Verjährungsfrist ist vom Bundesgericht auch in Fällen angewandt worden, in denen es um die Überbindung der Kosten für Sicherheitsvorkehren und die Beseitigung polizeiwidriger Zustände ging. Dabei ist zum Fristenlauf präzisiert worden, die Verjährung beginne erst, wenn die effektiven Kosten für die ergriffenen Massnahmen bekannt seien ( BGE 122 II 26 E. 5, Entscheid des Bundesgerichts vom 17. Dezember 1980 i.S. X, publ. in ZBl 82/1981 S. 370 E. 2). Gemäss diesen Grundsätzen, an denen auch im vorliegenden Fall festzuhalten ist, ist die Forderung der SBB nicht verjährt.</w:t>
      </w:r>
    </w:p>
    <w:p>
      <w:r>
        <w:rPr>
          <w:b/>
        </w:rPr>
        <w:t>E. 8</w:t>
      </w:r>
    </w:p>
    <w:p>
      <w:r>
        <w:t>Damit erweist sich der Beschwerdeentscheid des Departementes als bundesrechtsmässig und die Verwaltungsgerichtsbeschwerde als unbegründet. Wird der angefochtene Entscheid bestätigt, fällt eine Neuverlegung der Kosten des vorangegangenen Verfahrens ausser Betracht ( Art. 157 OG ). BGE 126 II 54 S. 62 Die Kosten des bundesgerichtlichen Verfahrens sind dem unterliegenden Beschwerdeführer zu überbinden ( Art. 156 Abs. 1 OG ). Hingegen fragt sich, ob dieser auch zur Bezahlung einer Parteientschädigung an die SBB zu verpflichten sei. Nach Art. 159 Abs. 2 OG darf im Verfahren der Verwaltungsgerichtsbeschwerde obsiegenden Behörden oder mit öffentlich-rechtlichen Aufgaben betrauten Organisationen in der Regel keine Parteientschädigung zugesprochen werden. Nun sind zwar die SBB nach heutiger Gesetzgebung kein autonomer eidgenössischer Betrieb gemäss Art. 1 Abs. 2 lit. c VwVG (SR 172.021) und Art. 98 lit. d OG mehr und können daher auch nicht mehr als Behörde im Sinne des VwVG gelten (vgl. BGE 101 Ib 99 E. 2b S. 104; 113 Ib 34 E. 3 S. 39). Sie bleiben aber als spezialgesetzliche Aktiengesellschaft im Sinne von Art. 2 des Bundesgesetzes über die Schweizerischen Bundesbahnen vom 20. März 1998 mit öffentlichrechtlichen Aufgaben betraut; ihnen steht jedenfalls zur Zeit auch noch Verfügungsgewalt zu. Sie haben daher als Organisation mit öffentlichrechtlichen Aufgaben keinen Anspruch auf Parteientschädigung im vorliegenden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